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18" w:rsidRDefault="00233518" w:rsidP="00233518">
      <w:pPr>
        <w:jc w:val="right"/>
        <w:rPr>
          <w:rFonts w:ascii="Arial Narrow" w:hAnsi="Arial Narrow"/>
          <w:szCs w:val="24"/>
        </w:rPr>
      </w:pPr>
      <w:bookmarkStart w:id="0" w:name="_Toc14962001"/>
      <w:r>
        <w:rPr>
          <w:rFonts w:ascii="Arial Narrow" w:hAnsi="Arial Narrow"/>
          <w:szCs w:val="24"/>
        </w:rPr>
        <w:t>Włocławek, 4 października 2019 r.</w:t>
      </w:r>
    </w:p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t>Przedmiot inwestycji</w:t>
      </w:r>
      <w:bookmarkEnd w:id="0"/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Przedmiotem inwestycji jest budowa czterech podpiwniczonych budynków wielorodzinnych, posiadających po 6 kondygnacji nadziemnych i jedną podziemną, z 288 lokalami mieszkalnymi łącznie wraz niezbędnymi do funkcjonowania całej inwestycji przyłączami mediów i zagospodarowaniem terenu (ciągami pieszo-jezdnymi, parkingami oraz chodnikami, elementami zieleni i małej architektury).</w:t>
      </w:r>
    </w:p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bookmarkStart w:id="1" w:name="_Toc14962003"/>
      <w:r w:rsidRPr="000E2AEF">
        <w:rPr>
          <w:rFonts w:ascii="Arial Narrow" w:hAnsi="Arial Narrow"/>
          <w:szCs w:val="24"/>
        </w:rPr>
        <w:t>Opis projektowanego zagospodarowania terenu</w:t>
      </w:r>
      <w:bookmarkEnd w:id="1"/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Wjazd na teren inwestycji zaprojektowano z czterech projektowanych zjazdów.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 xml:space="preserve">Zjazdy te prowadzą na drogi wewnętrzne. Przy drogach tych wyznaczono wydzielone parkingi (każdy parking do 60 stanowisk posiada wydzieloną powierzchnię terenu przeznaczoną do postoju </w:t>
      </w:r>
      <w:r w:rsidR="000E2AEF">
        <w:rPr>
          <w:rFonts w:ascii="Arial Narrow" w:hAnsi="Arial Narrow"/>
          <w:sz w:val="24"/>
          <w:szCs w:val="24"/>
        </w:rPr>
        <w:br/>
      </w:r>
      <w:r w:rsidRPr="000E2AEF">
        <w:rPr>
          <w:rFonts w:ascii="Arial Narrow" w:hAnsi="Arial Narrow"/>
          <w:sz w:val="24"/>
          <w:szCs w:val="24"/>
        </w:rPr>
        <w:t>i parkowania samochodów w postaci stanowisk postojowych oraz dojazdów łączących te stanowiska – dróg wewnętrznych obsługujących dany parking). Projektowane są 289 miejsca  parkingowe, w tym 7 miejsc przeznaczonych dla osób niepełnosprawnych.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Przy projektowanych zjazdach przewidziano także lokalizację 4 śmietników.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Projektowane budynki znajdują się przy narożnikach działki, wzdłuż krawędzi działki. 2 budynki pięciokondygnacyjne znajdują się wzdłuż północno-wschodniej i południowo-zachodniej granicy, a 2 budynki trzyklatkowe znajdują się wzdłuż północno-zachodniej i południowo-wschodniej granicy działki.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Aby zapewnić wygodny dostęp do budynku projektowane są schody terenowe i chodniki ze spadkiem umożliwiającym poruszanie się osobom korzystającym z wózków inwalidzkich.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Centralna część działki przeznaczona jest na teren rekreacyjny z placem zabaw dla najmłodszych, urządzeniami rekreacyjnymi dla dzieci starszych i siłownią zewnętrzną.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Na terenie inwestycji (wokół budynków, placu zabaw, terenów rekreacyjnych i miejsc parkingowych oraz dróg i chodników) projektuje się trawniki. Ponadto projektuje się nasadzenie nowych drzew.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 xml:space="preserve">Projektowane chodniki, drogi wewnętrzne i przestrzenie rekreacyjne posiadają zróżnicowane nawierzchnie i poziomy, wprowadzone są także rzeczywiste i symboliczne bariery terenu w postaci płotków (wydzielenie placu zabaw dla najmłodszych) i szpalerów drzew i innego rodzaju </w:t>
      </w:r>
      <w:proofErr w:type="spellStart"/>
      <w:r w:rsidRPr="000E2AEF">
        <w:rPr>
          <w:rFonts w:ascii="Arial Narrow" w:hAnsi="Arial Narrow"/>
          <w:sz w:val="24"/>
          <w:szCs w:val="24"/>
        </w:rPr>
        <w:t>nasadzeń</w:t>
      </w:r>
      <w:proofErr w:type="spellEnd"/>
      <w:r w:rsidRPr="000E2AEF">
        <w:rPr>
          <w:rFonts w:ascii="Arial Narrow" w:hAnsi="Arial Narrow"/>
          <w:sz w:val="24"/>
          <w:szCs w:val="24"/>
        </w:rPr>
        <w:t>. Umożliwia to wizualne wyróżnienie z projektowanej przestrzeni mniejszych obszarów o odrębnych funkcjach i przeznaczeniu.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Projektowane ciągi pieszo-jezdne spełniają wymagania dla dróg pożarowych.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</w:p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bookmarkStart w:id="2" w:name="_Toc14962007"/>
      <w:r w:rsidRPr="000E2AEF">
        <w:rPr>
          <w:rFonts w:ascii="Arial Narrow" w:hAnsi="Arial Narrow"/>
          <w:szCs w:val="24"/>
        </w:rPr>
        <w:t>Ogólny opis rozwiązania architektonicznego</w:t>
      </w:r>
      <w:bookmarkEnd w:id="2"/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Projektuje się:</w:t>
      </w:r>
    </w:p>
    <w:p w:rsidR="009550B3" w:rsidRPr="000E2AEF" w:rsidRDefault="009550B3" w:rsidP="009550B3">
      <w:pPr>
        <w:pStyle w:val="Listapunktowana2"/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4 budynki mieszkalne wielorodzinne o sześciu kondygnacjach nadziemnych i jednej kondygnacji podziemnej;</w:t>
      </w:r>
    </w:p>
    <w:p w:rsidR="009550B3" w:rsidRPr="000E2AEF" w:rsidRDefault="009550B3" w:rsidP="009550B3">
      <w:pPr>
        <w:pStyle w:val="Listapunktowana2"/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śmietniki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Budynki wielorodzinne z dachem płaskim. Do każdej z projektowanych klatek schodowych w budynkach prowadzą po 2 wejścia, z których jedno przeznaczone jest dla osób niepełnosprawnych poruszających się na wózku inwalidzkim. Wejścia projektowane „na przestrzał” umożliwiają dostęp do budynków zarówno od strony dróg zewnętrznych jak i wnętrza osiedla.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Na kondygnacji podziemnej w każdym budynku zlokalizowano pomieszczenia techniczne i komórki lokatorskie.</w:t>
      </w:r>
    </w:p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bookmarkStart w:id="3" w:name="_Toc14962008"/>
      <w:r w:rsidRPr="000E2AEF">
        <w:rPr>
          <w:rFonts w:ascii="Arial Narrow" w:hAnsi="Arial Narrow"/>
          <w:szCs w:val="24"/>
        </w:rPr>
        <w:t>Przeznaczenie obiektu</w:t>
      </w:r>
      <w:bookmarkEnd w:id="3"/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Projektowane budynki są budynkami wielorodzinnymi z 288 lokalami mieszkalnymi każdy (po 90 mieszkań w budynkach pięcioklatkowych i po 54 mieszkania w budynkach trzyklatkowych).</w:t>
      </w:r>
    </w:p>
    <w:p w:rsidR="009550B3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Projektowane śmietniki umożliwiają sortowanie odpadów.</w:t>
      </w:r>
    </w:p>
    <w:p w:rsidR="000E2AEF" w:rsidRPr="000E2AEF" w:rsidRDefault="000E2AEF" w:rsidP="009550B3">
      <w:pPr>
        <w:rPr>
          <w:rFonts w:ascii="Arial Narrow" w:hAnsi="Arial Narrow"/>
          <w:sz w:val="24"/>
          <w:szCs w:val="24"/>
        </w:rPr>
      </w:pPr>
    </w:p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lastRenderedPageBreak/>
        <w:t>Struktura mieszkań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753"/>
        <w:gridCol w:w="1168"/>
        <w:gridCol w:w="1162"/>
        <w:gridCol w:w="1275"/>
        <w:gridCol w:w="1418"/>
      </w:tblGrid>
      <w:tr w:rsidR="009550B3" w:rsidRPr="000E2AEF" w:rsidTr="007C7156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4" w:name="_Hlk15477749"/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Typ mieszkania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Liczba mieszkańców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Liczba pokoi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Kuchnia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w bloku "3"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w bloku "5"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w całym osiedlu: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9550B3" w:rsidRPr="000E2AEF" w:rsidTr="007C7156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MIESZKAŃ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288</w:t>
            </w:r>
          </w:p>
        </w:tc>
      </w:tr>
    </w:tbl>
    <w:bookmarkEnd w:id="4"/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t>Wykończenie mieszkań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 xml:space="preserve">Mieszkania posiadają wykończenie „pod klucz”, </w:t>
      </w:r>
      <w:bookmarkStart w:id="5" w:name="_Hlk15477707"/>
      <w:proofErr w:type="spellStart"/>
      <w:r w:rsidRPr="000E2AEF">
        <w:rPr>
          <w:rFonts w:ascii="Arial Narrow" w:hAnsi="Arial Narrow"/>
          <w:sz w:val="24"/>
          <w:szCs w:val="24"/>
        </w:rPr>
        <w:t>tj</w:t>
      </w:r>
      <w:proofErr w:type="spellEnd"/>
      <w:r w:rsidRPr="000E2AEF">
        <w:rPr>
          <w:rFonts w:ascii="Arial Narrow" w:hAnsi="Arial Narrow"/>
          <w:sz w:val="24"/>
          <w:szCs w:val="24"/>
        </w:rPr>
        <w:t xml:space="preserve"> posiadają wykończone podłogi, sufity, drzwi zewnętrzne i wewnętrzne, okna z parapetami oraz wykończone ściany wewnętrzne dostosowane do rodzaju pomieszczenia (malowane w kolorze białym lub wykończone płytkami ceramicznymi zgodnie z projektem aranżacji wnętrz – w kuchni fartuch, w łazienkach ściany całe lub ich fragmenty).</w:t>
      </w:r>
    </w:p>
    <w:p w:rsidR="009550B3" w:rsidRPr="000E2AEF" w:rsidRDefault="009550B3" w:rsidP="009550B3">
      <w:pPr>
        <w:pStyle w:val="Nagwek3"/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Wyposażenie łazienki i WC: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 xml:space="preserve">miska ustępowa ceramiczna, wisząca na stelażu, spłuczka podtynkowa, deska sedesowa </w:t>
      </w:r>
      <w:proofErr w:type="spellStart"/>
      <w:r w:rsidRPr="000E2AEF">
        <w:rPr>
          <w:rFonts w:ascii="Arial Narrow" w:hAnsi="Arial Narrow"/>
          <w:sz w:val="24"/>
          <w:szCs w:val="24"/>
        </w:rPr>
        <w:t>wolnoopadająca</w:t>
      </w:r>
      <w:proofErr w:type="spellEnd"/>
      <w:r w:rsidRPr="000E2AEF">
        <w:rPr>
          <w:rFonts w:ascii="Arial Narrow" w:hAnsi="Arial Narrow"/>
          <w:sz w:val="24"/>
          <w:szCs w:val="24"/>
        </w:rPr>
        <w:t>, zawiasy deski metalowe, mechanizm spłukujący dwubiegowy (3/6 l);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umywalka ceramiczna biała z otworem na baterię, z otworem przelewowym, z syfonem z PCW,  z korkiem typu Klik- Klak w komplecie z szafką łazienkową lub wisząca;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kabina prysznicowa z brodzikiem - kabina 90x90, szerokość wejścia min. 600mm, szkło hartowane przezroczyste lub matowe;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zamiennie z kabiną prysznicową wanna – akrylowa ze stelażem i zintegrowaną obudową, wym. Ok. 160x75 cm , głębokość ≥ 43 cm, średnica odpływu ≥ 52mm;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 xml:space="preserve">bateria umywalkowa stojąca z mieszaczem jednodźwigniowa, montaż jednootworowy, z głowicą ceramiczną, </w:t>
      </w:r>
      <w:proofErr w:type="spellStart"/>
      <w:r w:rsidRPr="000E2AEF">
        <w:rPr>
          <w:rFonts w:ascii="Arial Narrow" w:hAnsi="Arial Narrow"/>
          <w:sz w:val="24"/>
          <w:szCs w:val="24"/>
        </w:rPr>
        <w:t>perlatorem</w:t>
      </w:r>
      <w:proofErr w:type="spellEnd"/>
      <w:r w:rsidRPr="000E2AEF">
        <w:rPr>
          <w:rFonts w:ascii="Arial Narrow" w:hAnsi="Arial Narrow"/>
          <w:sz w:val="24"/>
          <w:szCs w:val="24"/>
        </w:rPr>
        <w:t>, z zestawem odpływowym, z elastycznymi wężykami przyłączeniowymi, wylewka stała;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bateria natryskowa ścienna z mieszaczem, jednodźwigniowa, wyjście węża natryskowego dolne z uchwytem natrysku, drążek; słuchawka prysznicowa wielofunkcyjna;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zamiennie z baterią natryskową - bateria wannowa ścienna z mieszaczem, jednodźwigniowa, wyjście węża natryskowego dolne z uchwytem natrysku; słuchawka prysznicowa wielofunkcyjna;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podejście wody zimnej do pralki zakończone zaworem odcinającym chromowanym;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syfon do pralki natynkowy, chromowany;</w:t>
      </w:r>
    </w:p>
    <w:p w:rsidR="009550B3" w:rsidRPr="000E2AEF" w:rsidRDefault="009550B3" w:rsidP="009550B3">
      <w:pPr>
        <w:pStyle w:val="Nagwek3"/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Wyposażenie kuchni: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 xml:space="preserve">zlewozmywak 2-komorowy lub 1 komorowy z </w:t>
      </w:r>
      <w:proofErr w:type="spellStart"/>
      <w:r w:rsidRPr="000E2AEF">
        <w:rPr>
          <w:rFonts w:ascii="Arial Narrow" w:hAnsi="Arial Narrow"/>
          <w:sz w:val="24"/>
          <w:szCs w:val="24"/>
        </w:rPr>
        <w:t>ociekaczem</w:t>
      </w:r>
      <w:proofErr w:type="spellEnd"/>
      <w:r w:rsidRPr="000E2AEF">
        <w:rPr>
          <w:rFonts w:ascii="Arial Narrow" w:hAnsi="Arial Narrow"/>
          <w:sz w:val="24"/>
          <w:szCs w:val="24"/>
        </w:rPr>
        <w:t>, na stelażu, ze stali nierdzewnej, z syfonem;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bateria zlewozmywakowa z mieszaczem;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podejście wody zimnej do zmywarki zakończone zaworem odcinającym;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lastRenderedPageBreak/>
        <w:t>•</w:t>
      </w:r>
      <w:r w:rsidRPr="000E2AEF">
        <w:rPr>
          <w:rFonts w:ascii="Arial Narrow" w:hAnsi="Arial Narrow"/>
          <w:sz w:val="24"/>
          <w:szCs w:val="24"/>
        </w:rPr>
        <w:tab/>
        <w:t>syfon do zmywarki;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odejście do podłączenia okapu, wyposażone w szczelną klapę zwrotną, dostosowane do projektowanego sytemu wentylacji;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kuchnia indukcyjna wolnostojąca z piekarnikiem elektrycznym, szerokość 50cm, 4 pola grzejne.</w:t>
      </w:r>
    </w:p>
    <w:p w:rsidR="009550B3" w:rsidRPr="000E2AEF" w:rsidRDefault="009550B3" w:rsidP="009550B3">
      <w:pPr>
        <w:pStyle w:val="Nagwek3"/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Wyposażenie ogólne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Wyposażenie ogólne: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nawiewniki i kratki wentylacyjne dostosowane do projektowanego systemu wentylacji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>grzejniki- stalowe płytowe biały lub łazienkowe w zależności od pomieszczenia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•</w:t>
      </w:r>
      <w:r w:rsidRPr="000E2AEF">
        <w:rPr>
          <w:rFonts w:ascii="Arial Narrow" w:hAnsi="Arial Narrow"/>
          <w:sz w:val="24"/>
          <w:szCs w:val="24"/>
        </w:rPr>
        <w:tab/>
        <w:t xml:space="preserve">gniazda elektryczne, łączniki oświetleniowe, gniazda dostępu do TV i Internetu, oprawki sufitowe </w:t>
      </w:r>
    </w:p>
    <w:bookmarkEnd w:id="5"/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t>Dostępność budynków dla osób niepełnosprawnych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bookmarkStart w:id="6" w:name="_Hlk15477619"/>
      <w:r w:rsidRPr="000E2AEF">
        <w:rPr>
          <w:rFonts w:ascii="Arial Narrow" w:hAnsi="Arial Narrow"/>
          <w:sz w:val="24"/>
          <w:szCs w:val="24"/>
        </w:rPr>
        <w:t>Wszystkie moduły (klatki schodowe) mają zapewniony dostęp dla osób niepełnosprawnych bezpośrednio z poziomu terenu bez progów i schodów, z chodników o dopuszczalnym nachyleniu. Drzwi wejściowe do klatek schodowych o szerokości min. 120cm, przy czym jedno skrzydło drzwi o szerokości 100cm. Górna krawędź klamki, zamka oraz dzwonka umieszczona maksymalnie na wysokości 110 m nad poziomem podłogi. Szklane drzwi (zewnętrzne i wewnętrzne) będą oznaczone kontrastowym elementem. Przed i po wejściu do budynku zapewnione pole manewru o wymiarach min. 150x150cm poza polem otwierania drzwi. Nawierzchnia przed wejściem utwardzona i wypłaszczona (chodnik), o nachyleniu nie większym niż 5%.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 xml:space="preserve">Windy przystosowane do przewozu chorych na noszach i korzystania przez osoby z niepełnosprawnościami wyposażone w automatycznie otwieranie i zamykanie drzwi z systemem zatrzymującym zamykanie drzwi przed kontaktem fizycznym z przedmiotem lub osobą. W kabinie dźwigu, na ścianie przeciwnej do drzwi wejściowych należy umieścić lustro umożliwiające osobie poruszającej się na wózku sprawdzenie, czy za jej plecami nie znajduje się żadna przeszkoda i czy może bezpiecznie opuścić kabinę. Lustro powinno znajdować się na wysokości od 30 do 90 cm od posadzki (dół) i 190 cm od posadzki (góra). Stosowanie lustra nie jest konieczne, jeżeli wymiary kabiny są większe niż 150 × 150 cm. Tablice </w:t>
      </w:r>
      <w:proofErr w:type="spellStart"/>
      <w:r w:rsidRPr="000E2AEF">
        <w:rPr>
          <w:rFonts w:ascii="Arial Narrow" w:hAnsi="Arial Narrow"/>
          <w:sz w:val="24"/>
          <w:szCs w:val="24"/>
        </w:rPr>
        <w:t>przyzywowe</w:t>
      </w:r>
      <w:proofErr w:type="spellEnd"/>
      <w:r w:rsidRPr="000E2AEF">
        <w:rPr>
          <w:rFonts w:ascii="Arial Narrow" w:hAnsi="Arial Narrow"/>
          <w:sz w:val="24"/>
          <w:szCs w:val="24"/>
        </w:rPr>
        <w:t xml:space="preserve"> wewnątrz i na zewnątrz dźwigu montuje się na wysokości od 80 do 110 cm, w odległości co najmniej 50 cm od naroża kabiny lub ścian. Dźwig powinien być dostosowany do potrzeb osób niepełnosprawnych z niepełnosprawnościami sensorycznymi i powinien: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- posiadać przycisk drzwi zaopatrzony w oznaczenie dotykowe (jednocześnie wypukłe cyfry i symbole oraz alfabet Braille’a),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- emitować sygnały dźwiękowe na zewnątrz dźwigu informujące o przyjeździe kabiny,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- emitować informacje głosowe podające numer kondygnacji wewnątrz dźwigu,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- posiadać wyświetlacze na zewnątrz i wewnątrz dźwigu informujące o aktualnym położeniu kabiny.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r w:rsidRPr="000E2AEF">
        <w:rPr>
          <w:rFonts w:ascii="Arial Narrow" w:hAnsi="Arial Narrow"/>
          <w:sz w:val="24"/>
          <w:szCs w:val="24"/>
        </w:rPr>
        <w:t>Aranżacja części wspólnych pozwala samodzielną orientację w przestrzeni. Kontrastowa kolorystyka ścian i podłóg oraz wyraźne oznaczenia i piktogramy oraz oznaczenia kierunkowe (zarówno kolorystyczne jak i zaakcentowane rodzajem materiału lub jego faktury) ułatwiają odnalezienie odpowiedniej drogi osobom niepełnosprawnym zarówno na wózkach inwalidzkich jak i słabo lub niedowidzących.</w:t>
      </w:r>
    </w:p>
    <w:bookmarkEnd w:id="6"/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t>Zagospodarowanie powierzchni wspólnych w budynkach</w:t>
      </w:r>
    </w:p>
    <w:p w:rsidR="009550B3" w:rsidRPr="000E2AEF" w:rsidRDefault="009550B3" w:rsidP="009550B3">
      <w:pPr>
        <w:rPr>
          <w:rFonts w:ascii="Arial Narrow" w:hAnsi="Arial Narrow"/>
          <w:sz w:val="24"/>
          <w:szCs w:val="24"/>
        </w:rPr>
      </w:pPr>
      <w:bookmarkStart w:id="7" w:name="_Hlk15477562"/>
      <w:r w:rsidRPr="000E2AEF">
        <w:rPr>
          <w:rFonts w:ascii="Arial Narrow" w:hAnsi="Arial Narrow"/>
          <w:sz w:val="24"/>
          <w:szCs w:val="24"/>
        </w:rPr>
        <w:t xml:space="preserve">Powierzchnie wspólne wykończone w sposób estetyczny i ułatwiający odnalezienie się w przestrzeni. W strefie wejścia w każdej klatce schodowej projektowane są skrzynki na listy. Każda klatka schodowa posiada 2 wyjścia na zewnątrz (na przestrzał budynku), z czego jedno wejście przystosowane jest w pełni dla osób niepełnosprawnych. Z klatek schodowych zapewniony jest dostęp do dźwigu osobowego obsługującego wszystkie kondygnacje. W każdym module na kondygnacji -1 przewidziano po 18 komórek lokatorskich (obsługujących 18 mieszkań), </w:t>
      </w:r>
      <w:proofErr w:type="spellStart"/>
      <w:r w:rsidRPr="000E2AEF">
        <w:rPr>
          <w:rFonts w:ascii="Arial Narrow" w:hAnsi="Arial Narrow"/>
          <w:sz w:val="24"/>
          <w:szCs w:val="24"/>
        </w:rPr>
        <w:t>rowerownię</w:t>
      </w:r>
      <w:proofErr w:type="spellEnd"/>
      <w:r w:rsidRPr="000E2AEF">
        <w:rPr>
          <w:rFonts w:ascii="Arial Narrow" w:hAnsi="Arial Narrow"/>
          <w:sz w:val="24"/>
          <w:szCs w:val="24"/>
        </w:rPr>
        <w:t xml:space="preserve">, pomieszczenie porządkowe oraz </w:t>
      </w:r>
      <w:r w:rsidRPr="000E2AEF">
        <w:rPr>
          <w:rFonts w:ascii="Arial Narrow" w:hAnsi="Arial Narrow"/>
          <w:sz w:val="24"/>
          <w:szCs w:val="24"/>
        </w:rPr>
        <w:lastRenderedPageBreak/>
        <w:t>teletechniczne. Dodatkowo w każdym budynku, w środkowym module, projektowany jest węzeł cieplny zasilający cały budynek.</w:t>
      </w:r>
    </w:p>
    <w:bookmarkEnd w:id="7"/>
    <w:p w:rsidR="009550B3" w:rsidRPr="000E2AEF" w:rsidRDefault="009550B3" w:rsidP="009550B3">
      <w:pPr>
        <w:pStyle w:val="Nagwek2"/>
        <w:rPr>
          <w:rFonts w:ascii="Arial Narrow" w:hAnsi="Arial Narrow"/>
          <w:szCs w:val="24"/>
        </w:rPr>
      </w:pPr>
      <w:r w:rsidRPr="000E2AEF">
        <w:rPr>
          <w:rFonts w:ascii="Arial Narrow" w:hAnsi="Arial Narrow"/>
          <w:szCs w:val="24"/>
        </w:rPr>
        <w:t>Planowana liczba mieszkań i powierzchnia użytkowa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276"/>
        <w:gridCol w:w="1275"/>
        <w:gridCol w:w="1843"/>
      </w:tblGrid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Typ mieszkania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Powierzchnia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w bloku "3"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Ilość w bloku "5"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W OSIEDLU: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Pow. łącznie [m</w:t>
            </w: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]: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1767,12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2492,4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2664,8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1391,52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1228,4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2934,24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1163,4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327,36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414,48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187,36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175,36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108,76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Mieszkanie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833,4</w:t>
            </w:r>
          </w:p>
        </w:tc>
      </w:tr>
      <w:tr w:rsidR="009550B3" w:rsidRPr="000E2AEF" w:rsidTr="007C7156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lef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50B3" w:rsidRPr="000E2AEF" w:rsidRDefault="009550B3" w:rsidP="007C7156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2AE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15688,6</w:t>
            </w:r>
          </w:p>
        </w:tc>
      </w:tr>
    </w:tbl>
    <w:p w:rsidR="00233518" w:rsidRDefault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P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233518" w:rsidRDefault="00233518" w:rsidP="00233518">
      <w:pPr>
        <w:rPr>
          <w:rFonts w:ascii="Arial Narrow" w:hAnsi="Arial Narrow"/>
          <w:sz w:val="24"/>
          <w:szCs w:val="24"/>
        </w:rPr>
      </w:pPr>
    </w:p>
    <w:p w:rsidR="009550B3" w:rsidRPr="00233518" w:rsidRDefault="00233518" w:rsidP="0023351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Sporządzono przez Miejskie Budownictwo Mieszkaniowe</w:t>
      </w:r>
      <w:bookmarkStart w:id="8" w:name="_GoBack"/>
      <w:bookmarkEnd w:id="8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</w:t>
      </w:r>
      <w:proofErr w:type="spellEnd"/>
      <w:r>
        <w:rPr>
          <w:rFonts w:ascii="Arial Narrow" w:hAnsi="Arial Narrow"/>
          <w:sz w:val="24"/>
          <w:szCs w:val="24"/>
        </w:rPr>
        <w:t xml:space="preserve"> z o.o.</w:t>
      </w:r>
    </w:p>
    <w:sectPr w:rsidR="009550B3" w:rsidRPr="0023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B0A9D14"/>
    <w:lvl w:ilvl="0">
      <w:start w:val="1"/>
      <w:numFmt w:val="bullet"/>
      <w:pStyle w:val="Listapunktowana2"/>
      <w:lvlText w:val="ꟷ"/>
      <w:lvlJc w:val="left"/>
      <w:pPr>
        <w:ind w:left="926" w:hanging="360"/>
      </w:pPr>
      <w:rPr>
        <w:rFonts w:ascii="Calibri" w:hAnsi="Calibri" w:hint="default"/>
        <w:iCs/>
      </w:rPr>
    </w:lvl>
  </w:abstractNum>
  <w:abstractNum w:abstractNumId="1">
    <w:nsid w:val="2A42567D"/>
    <w:multiLevelType w:val="multilevel"/>
    <w:tmpl w:val="F95C08A2"/>
    <w:lvl w:ilvl="0">
      <w:start w:val="1"/>
      <w:numFmt w:val="upperRoman"/>
      <w:pStyle w:val="Nagwek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suff w:val="space"/>
      <w:lvlText w:val="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gwek5"/>
      <w:suff w:val="space"/>
      <w:lvlText w:val="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7670CFC"/>
    <w:multiLevelType w:val="hybridMultilevel"/>
    <w:tmpl w:val="831A1666"/>
    <w:styleLink w:val="WWOutlineListStyle"/>
    <w:lvl w:ilvl="0" w:tplc="0750FDBA">
      <w:start w:val="1"/>
      <w:numFmt w:val="bullet"/>
      <w:suff w:val="space"/>
      <w:lvlText w:val=""/>
      <w:lvlJc w:val="left"/>
      <w:pPr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3"/>
    <w:rsid w:val="000E2AEF"/>
    <w:rsid w:val="00233518"/>
    <w:rsid w:val="00372A84"/>
    <w:rsid w:val="009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B3"/>
    <w:pPr>
      <w:spacing w:after="0" w:line="24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50B3"/>
    <w:pPr>
      <w:keepNext/>
      <w:keepLines/>
      <w:pageBreakBefore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50B3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50B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2F5496" w:themeColor="accent1" w:themeShade="BF"/>
      <w:sz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50B3"/>
    <w:pPr>
      <w:keepNext/>
      <w:keepLines/>
      <w:numPr>
        <w:ilvl w:val="3"/>
        <w:numId w:val="1"/>
      </w:numPr>
      <w:spacing w:before="160"/>
      <w:outlineLvl w:val="3"/>
    </w:pPr>
    <w:rPr>
      <w:rFonts w:eastAsiaTheme="majorEastAsia" w:cstheme="majorBidi"/>
      <w:b/>
      <w:bCs/>
      <w:iCs/>
      <w:color w:val="2F5496" w:themeColor="accent1" w:themeShade="BF"/>
      <w:sz w:val="2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50B3"/>
    <w:pPr>
      <w:keepLines/>
      <w:numPr>
        <w:ilvl w:val="4"/>
        <w:numId w:val="1"/>
      </w:numPr>
      <w:spacing w:before="120"/>
      <w:outlineLvl w:val="4"/>
    </w:pPr>
    <w:rPr>
      <w:rFonts w:eastAsia="Times New Roman" w:cs="Times New Roman"/>
      <w:b/>
      <w:noProof/>
      <w:color w:val="2F5496" w:themeColor="accent1" w:themeShade="BF"/>
      <w:sz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50B3"/>
    <w:pPr>
      <w:keepLines/>
      <w:numPr>
        <w:ilvl w:val="5"/>
        <w:numId w:val="1"/>
      </w:numPr>
      <w:spacing w:before="60"/>
      <w:jc w:val="left"/>
      <w:outlineLvl w:val="5"/>
    </w:pPr>
    <w:rPr>
      <w:rFonts w:eastAsia="Times New Roman" w:cs="Times New Roman"/>
      <w:b/>
      <w:iCs/>
      <w:noProof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9550B3"/>
    <w:pPr>
      <w:keepNext/>
      <w:keepLines/>
      <w:numPr>
        <w:ilvl w:val="6"/>
        <w:numId w:val="1"/>
      </w:numPr>
      <w:spacing w:before="120"/>
      <w:jc w:val="left"/>
      <w:outlineLvl w:val="6"/>
    </w:pPr>
    <w:rPr>
      <w:rFonts w:ascii="Cambria" w:eastAsia="Times New Roman" w:hAnsi="Cambria" w:cs="Times New Roman"/>
      <w:i/>
      <w:iCs/>
      <w:smallCaps/>
      <w:noProof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9550B3"/>
    <w:pPr>
      <w:keepNext/>
      <w:keepLines/>
      <w:numPr>
        <w:ilvl w:val="7"/>
        <w:numId w:val="1"/>
      </w:numPr>
      <w:spacing w:before="120"/>
      <w:jc w:val="left"/>
      <w:outlineLvl w:val="7"/>
    </w:pPr>
    <w:rPr>
      <w:rFonts w:ascii="Cambria" w:eastAsia="Times New Roman" w:hAnsi="Cambria" w:cs="Times New Roman"/>
      <w:noProof/>
      <w:color w:val="00000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550B3"/>
    <w:pPr>
      <w:keepNext/>
      <w:keepLines/>
      <w:numPr>
        <w:ilvl w:val="8"/>
        <w:numId w:val="1"/>
      </w:numPr>
      <w:spacing w:before="60"/>
      <w:jc w:val="left"/>
      <w:outlineLvl w:val="8"/>
    </w:pPr>
    <w:rPr>
      <w:rFonts w:ascii="Cambria" w:eastAsia="Times New Roman" w:hAnsi="Cambria" w:cs="Times New Roman"/>
      <w:i/>
      <w:iCs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0B3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550B3"/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50B3"/>
    <w:rPr>
      <w:rFonts w:eastAsiaTheme="majorEastAsia" w:cstheme="majorBidi"/>
      <w:b/>
      <w:bCs/>
      <w:color w:val="2F5496" w:themeColor="accent1" w:themeShade="BF"/>
      <w:sz w:val="23"/>
    </w:rPr>
  </w:style>
  <w:style w:type="character" w:customStyle="1" w:styleId="Nagwek4Znak">
    <w:name w:val="Nagłówek 4 Znak"/>
    <w:basedOn w:val="Domylnaczcionkaakapitu"/>
    <w:link w:val="Nagwek4"/>
    <w:uiPriority w:val="9"/>
    <w:rsid w:val="009550B3"/>
    <w:rPr>
      <w:rFonts w:eastAsiaTheme="majorEastAsia" w:cstheme="majorBidi"/>
      <w:b/>
      <w:bCs/>
      <w:iCs/>
      <w:color w:val="2F5496" w:themeColor="accent1" w:themeShade="BF"/>
      <w:sz w:val="23"/>
    </w:rPr>
  </w:style>
  <w:style w:type="character" w:customStyle="1" w:styleId="Nagwek5Znak">
    <w:name w:val="Nagłówek 5 Znak"/>
    <w:basedOn w:val="Domylnaczcionkaakapitu"/>
    <w:link w:val="Nagwek5"/>
    <w:uiPriority w:val="9"/>
    <w:rsid w:val="009550B3"/>
    <w:rPr>
      <w:rFonts w:eastAsia="Times New Roman" w:cs="Times New Roman"/>
      <w:b/>
      <w:noProof/>
      <w:color w:val="2F5496" w:themeColor="accent1" w:themeShade="BF"/>
      <w:sz w:val="23"/>
    </w:rPr>
  </w:style>
  <w:style w:type="character" w:customStyle="1" w:styleId="Nagwek6Znak">
    <w:name w:val="Nagłówek 6 Znak"/>
    <w:basedOn w:val="Domylnaczcionkaakapitu"/>
    <w:link w:val="Nagwek6"/>
    <w:uiPriority w:val="9"/>
    <w:rsid w:val="009550B3"/>
    <w:rPr>
      <w:rFonts w:eastAsia="Times New Roman" w:cs="Times New Roman"/>
      <w:b/>
      <w:iCs/>
      <w:noProof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9550B3"/>
    <w:rPr>
      <w:rFonts w:ascii="Cambria" w:eastAsia="Times New Roman" w:hAnsi="Cambria" w:cs="Times New Roman"/>
      <w:i/>
      <w:iCs/>
      <w:smallCaps/>
      <w:noProof/>
      <w:sz w:val="24"/>
    </w:rPr>
  </w:style>
  <w:style w:type="character" w:customStyle="1" w:styleId="Nagwek8Znak">
    <w:name w:val="Nagłówek 8 Znak"/>
    <w:basedOn w:val="Domylnaczcionkaakapitu"/>
    <w:link w:val="Nagwek8"/>
    <w:rsid w:val="009550B3"/>
    <w:rPr>
      <w:rFonts w:ascii="Cambria" w:eastAsia="Times New Roman" w:hAnsi="Cambria" w:cs="Times New Roman"/>
      <w:noProof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550B3"/>
    <w:rPr>
      <w:rFonts w:ascii="Cambria" w:eastAsia="Times New Roman" w:hAnsi="Cambria" w:cs="Times New Roman"/>
      <w:i/>
      <w:iCs/>
      <w:noProof/>
      <w:szCs w:val="20"/>
    </w:rPr>
  </w:style>
  <w:style w:type="numbering" w:customStyle="1" w:styleId="WWOutlineListStyle">
    <w:name w:val="WW_OutlineListStyle"/>
    <w:basedOn w:val="Bezlisty"/>
    <w:rsid w:val="009550B3"/>
    <w:pPr>
      <w:numPr>
        <w:numId w:val="2"/>
      </w:numPr>
    </w:pPr>
  </w:style>
  <w:style w:type="paragraph" w:styleId="Listapunktowana2">
    <w:name w:val="List Bullet 2"/>
    <w:basedOn w:val="Normalny"/>
    <w:rsid w:val="009550B3"/>
    <w:pPr>
      <w:numPr>
        <w:numId w:val="3"/>
      </w:numPr>
      <w:spacing w:after="40"/>
      <w:ind w:left="414" w:hanging="357"/>
      <w:contextualSpacing/>
    </w:pPr>
    <w:rPr>
      <w:rFonts w:eastAsia="Times New Roman" w:cs="Times New Roman"/>
      <w:noProof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B3"/>
    <w:pPr>
      <w:spacing w:after="0" w:line="24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50B3"/>
    <w:pPr>
      <w:keepNext/>
      <w:keepLines/>
      <w:pageBreakBefore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50B3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50B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2F5496" w:themeColor="accent1" w:themeShade="BF"/>
      <w:sz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50B3"/>
    <w:pPr>
      <w:keepNext/>
      <w:keepLines/>
      <w:numPr>
        <w:ilvl w:val="3"/>
        <w:numId w:val="1"/>
      </w:numPr>
      <w:spacing w:before="160"/>
      <w:outlineLvl w:val="3"/>
    </w:pPr>
    <w:rPr>
      <w:rFonts w:eastAsiaTheme="majorEastAsia" w:cstheme="majorBidi"/>
      <w:b/>
      <w:bCs/>
      <w:iCs/>
      <w:color w:val="2F5496" w:themeColor="accent1" w:themeShade="BF"/>
      <w:sz w:val="2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50B3"/>
    <w:pPr>
      <w:keepLines/>
      <w:numPr>
        <w:ilvl w:val="4"/>
        <w:numId w:val="1"/>
      </w:numPr>
      <w:spacing w:before="120"/>
      <w:outlineLvl w:val="4"/>
    </w:pPr>
    <w:rPr>
      <w:rFonts w:eastAsia="Times New Roman" w:cs="Times New Roman"/>
      <w:b/>
      <w:noProof/>
      <w:color w:val="2F5496" w:themeColor="accent1" w:themeShade="BF"/>
      <w:sz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50B3"/>
    <w:pPr>
      <w:keepLines/>
      <w:numPr>
        <w:ilvl w:val="5"/>
        <w:numId w:val="1"/>
      </w:numPr>
      <w:spacing w:before="60"/>
      <w:jc w:val="left"/>
      <w:outlineLvl w:val="5"/>
    </w:pPr>
    <w:rPr>
      <w:rFonts w:eastAsia="Times New Roman" w:cs="Times New Roman"/>
      <w:b/>
      <w:iCs/>
      <w:noProof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9550B3"/>
    <w:pPr>
      <w:keepNext/>
      <w:keepLines/>
      <w:numPr>
        <w:ilvl w:val="6"/>
        <w:numId w:val="1"/>
      </w:numPr>
      <w:spacing w:before="120"/>
      <w:jc w:val="left"/>
      <w:outlineLvl w:val="6"/>
    </w:pPr>
    <w:rPr>
      <w:rFonts w:ascii="Cambria" w:eastAsia="Times New Roman" w:hAnsi="Cambria" w:cs="Times New Roman"/>
      <w:i/>
      <w:iCs/>
      <w:smallCaps/>
      <w:noProof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9550B3"/>
    <w:pPr>
      <w:keepNext/>
      <w:keepLines/>
      <w:numPr>
        <w:ilvl w:val="7"/>
        <w:numId w:val="1"/>
      </w:numPr>
      <w:spacing w:before="120"/>
      <w:jc w:val="left"/>
      <w:outlineLvl w:val="7"/>
    </w:pPr>
    <w:rPr>
      <w:rFonts w:ascii="Cambria" w:eastAsia="Times New Roman" w:hAnsi="Cambria" w:cs="Times New Roman"/>
      <w:noProof/>
      <w:color w:val="00000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550B3"/>
    <w:pPr>
      <w:keepNext/>
      <w:keepLines/>
      <w:numPr>
        <w:ilvl w:val="8"/>
        <w:numId w:val="1"/>
      </w:numPr>
      <w:spacing w:before="60"/>
      <w:jc w:val="left"/>
      <w:outlineLvl w:val="8"/>
    </w:pPr>
    <w:rPr>
      <w:rFonts w:ascii="Cambria" w:eastAsia="Times New Roman" w:hAnsi="Cambria" w:cs="Times New Roman"/>
      <w:i/>
      <w:iCs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0B3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550B3"/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50B3"/>
    <w:rPr>
      <w:rFonts w:eastAsiaTheme="majorEastAsia" w:cstheme="majorBidi"/>
      <w:b/>
      <w:bCs/>
      <w:color w:val="2F5496" w:themeColor="accent1" w:themeShade="BF"/>
      <w:sz w:val="23"/>
    </w:rPr>
  </w:style>
  <w:style w:type="character" w:customStyle="1" w:styleId="Nagwek4Znak">
    <w:name w:val="Nagłówek 4 Znak"/>
    <w:basedOn w:val="Domylnaczcionkaakapitu"/>
    <w:link w:val="Nagwek4"/>
    <w:uiPriority w:val="9"/>
    <w:rsid w:val="009550B3"/>
    <w:rPr>
      <w:rFonts w:eastAsiaTheme="majorEastAsia" w:cstheme="majorBidi"/>
      <w:b/>
      <w:bCs/>
      <w:iCs/>
      <w:color w:val="2F5496" w:themeColor="accent1" w:themeShade="BF"/>
      <w:sz w:val="23"/>
    </w:rPr>
  </w:style>
  <w:style w:type="character" w:customStyle="1" w:styleId="Nagwek5Znak">
    <w:name w:val="Nagłówek 5 Znak"/>
    <w:basedOn w:val="Domylnaczcionkaakapitu"/>
    <w:link w:val="Nagwek5"/>
    <w:uiPriority w:val="9"/>
    <w:rsid w:val="009550B3"/>
    <w:rPr>
      <w:rFonts w:eastAsia="Times New Roman" w:cs="Times New Roman"/>
      <w:b/>
      <w:noProof/>
      <w:color w:val="2F5496" w:themeColor="accent1" w:themeShade="BF"/>
      <w:sz w:val="23"/>
    </w:rPr>
  </w:style>
  <w:style w:type="character" w:customStyle="1" w:styleId="Nagwek6Znak">
    <w:name w:val="Nagłówek 6 Znak"/>
    <w:basedOn w:val="Domylnaczcionkaakapitu"/>
    <w:link w:val="Nagwek6"/>
    <w:uiPriority w:val="9"/>
    <w:rsid w:val="009550B3"/>
    <w:rPr>
      <w:rFonts w:eastAsia="Times New Roman" w:cs="Times New Roman"/>
      <w:b/>
      <w:iCs/>
      <w:noProof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9550B3"/>
    <w:rPr>
      <w:rFonts w:ascii="Cambria" w:eastAsia="Times New Roman" w:hAnsi="Cambria" w:cs="Times New Roman"/>
      <w:i/>
      <w:iCs/>
      <w:smallCaps/>
      <w:noProof/>
      <w:sz w:val="24"/>
    </w:rPr>
  </w:style>
  <w:style w:type="character" w:customStyle="1" w:styleId="Nagwek8Znak">
    <w:name w:val="Nagłówek 8 Znak"/>
    <w:basedOn w:val="Domylnaczcionkaakapitu"/>
    <w:link w:val="Nagwek8"/>
    <w:rsid w:val="009550B3"/>
    <w:rPr>
      <w:rFonts w:ascii="Cambria" w:eastAsia="Times New Roman" w:hAnsi="Cambria" w:cs="Times New Roman"/>
      <w:noProof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550B3"/>
    <w:rPr>
      <w:rFonts w:ascii="Cambria" w:eastAsia="Times New Roman" w:hAnsi="Cambria" w:cs="Times New Roman"/>
      <w:i/>
      <w:iCs/>
      <w:noProof/>
      <w:szCs w:val="20"/>
    </w:rPr>
  </w:style>
  <w:style w:type="numbering" w:customStyle="1" w:styleId="WWOutlineListStyle">
    <w:name w:val="WW_OutlineListStyle"/>
    <w:basedOn w:val="Bezlisty"/>
    <w:rsid w:val="009550B3"/>
    <w:pPr>
      <w:numPr>
        <w:numId w:val="2"/>
      </w:numPr>
    </w:pPr>
  </w:style>
  <w:style w:type="paragraph" w:styleId="Listapunktowana2">
    <w:name w:val="List Bullet 2"/>
    <w:basedOn w:val="Normalny"/>
    <w:rsid w:val="009550B3"/>
    <w:pPr>
      <w:numPr>
        <w:numId w:val="3"/>
      </w:numPr>
      <w:spacing w:after="40"/>
      <w:ind w:left="414" w:hanging="357"/>
      <w:contextualSpacing/>
    </w:pPr>
    <w:rPr>
      <w:rFonts w:eastAsia="Times New Roman" w:cs="Times New Roman"/>
      <w:noProof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Eurocash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Minett</dc:creator>
  <cp:lastModifiedBy>Patryk Stefanowski</cp:lastModifiedBy>
  <cp:revision>6</cp:revision>
  <dcterms:created xsi:type="dcterms:W3CDTF">2019-10-03T18:13:00Z</dcterms:created>
  <dcterms:modified xsi:type="dcterms:W3CDTF">2019-10-03T19:25:00Z</dcterms:modified>
</cp:coreProperties>
</file>